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2025/58</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2025/58</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se glede razmejitve obveznosti pogodbenih strank v zvezi z dobavo GLS, razporeditvijo stroškov, 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lastRenderedPageBreak/>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 xml:space="preserve">stvarnopravne, civilnopravne in druge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lastRenderedPageBreak/>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 xml:space="preserve">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w:t>
      </w:r>
      <w:r w:rsidRPr="00557E26">
        <w:rPr>
          <w:rFonts w:ascii="Arial" w:hAnsi="Arial" w:eastAsia="Arial" w:cs="Arial"/>
        </w:rPr>
        <w:lastRenderedPageBreak/>
        <w:t>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 xml:space="preserve">Uporaba Dunajske konvencije o mednarodni prodaji blaga je izključena.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lastRenderedPageBreak/>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lastRenderedPageBreak/>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538C2"/>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1198"/>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E1559"/>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6D5BED"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6D5BED"/>
    <w:rsid w:val="008E5FDD"/>
    <w:rsid w:val="0092330A"/>
    <w:rsid w:val="00B95FBD"/>
    <w:rsid w:val="00C70F63"/>
    <w:rsid w:val="00DC4B2E"/>
    <w:rsid w:val="00E345BE"/>
    <w:rsid w:val="00E71A58"/>
    <w:rsid w:val="00EE1559"/>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customXml/itemProps2.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3.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2267</Words>
  <Characters>12923</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2024-10-18T09:55:00Z</dcterms:created>
  <dcterms:modified xsi:type="dcterms:W3CDTF">2024-10-18T09:55:00Z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